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2"/>
          <w:szCs w:val="32"/>
        </w:rPr>
      </w:pPr>
      <w:bookmarkStart w:id="0" w:name="_GoBack"/>
      <w:r>
        <w:rPr>
          <w:rFonts w:hint="eastAsia" w:ascii="黑体" w:hAnsi="黑体" w:eastAsia="黑体" w:cs="黑体"/>
          <w:b/>
          <w:bCs/>
          <w:sz w:val="32"/>
          <w:szCs w:val="32"/>
        </w:rPr>
        <w:t>共青团浙江工商职业技术学院委员会2017年工作计划</w:t>
      </w:r>
    </w:p>
    <w:bookmarkEnd w:id="0"/>
    <w:p>
      <w:r>
        <w:rPr>
          <w:rFonts w:hint="eastAsia"/>
        </w:rPr>
        <w:t xml:space="preserve">   </w:t>
      </w:r>
    </w:p>
    <w:p>
      <w:pPr>
        <w:rPr>
          <w:rFonts w:ascii="仿宋_GB2312" w:hAnsi="仿宋_GB2312" w:cs="仿宋_GB2312"/>
          <w:b/>
          <w:bCs/>
          <w:color w:val="000000"/>
          <w:sz w:val="24"/>
          <w:szCs w:val="24"/>
        </w:rPr>
      </w:pPr>
      <w:r>
        <w:rPr>
          <w:rFonts w:hint="eastAsia"/>
          <w:b/>
          <w:bCs/>
          <w:sz w:val="24"/>
          <w:szCs w:val="24"/>
        </w:rPr>
        <w:t>　</w:t>
      </w:r>
      <w:r>
        <w:rPr>
          <w:rFonts w:hint="eastAsia"/>
          <w:b/>
          <w:bCs/>
          <w:color w:val="000000"/>
          <w:sz w:val="24"/>
          <w:szCs w:val="24"/>
        </w:rPr>
        <w:t>　</w:t>
      </w:r>
      <w:r>
        <w:rPr>
          <w:rFonts w:hint="eastAsia" w:ascii="仿宋_GB2312" w:hAnsi="仿宋_GB2312" w:cs="仿宋_GB2312"/>
          <w:b/>
          <w:bCs/>
          <w:color w:val="000000"/>
          <w:sz w:val="24"/>
          <w:szCs w:val="24"/>
        </w:rPr>
        <w:t>一、指导思想</w:t>
      </w:r>
    </w:p>
    <w:p>
      <w:pPr>
        <w:ind w:firstLine="484" w:firstLineChars="200"/>
        <w:rPr>
          <w:rFonts w:ascii="仿宋_GB2312" w:hAnsi="仿宋_GB2312" w:cs="仿宋_GB2312"/>
          <w:color w:val="000000"/>
          <w:sz w:val="24"/>
          <w:szCs w:val="24"/>
        </w:rPr>
      </w:pPr>
      <w:r>
        <w:rPr>
          <w:rFonts w:hint="eastAsia" w:ascii="仿宋_GB2312" w:hAnsi="仿宋_GB2312" w:cs="仿宋_GB2312"/>
          <w:color w:val="000000"/>
          <w:sz w:val="24"/>
          <w:szCs w:val="24"/>
        </w:rPr>
        <w:t>2017年，学校共青团将在上级团组织、校党委的领导下，深入贯彻落实党的十八大和十八届三中、四中、五中、六中全会精神，深入学习贯彻习近平总书记系列重要讲话精神特别是关于青少年和共青团工作的重要指示精神，根据《高校共青团改革实施方案》（中青联发[2016]18号）文件要求，依照共青团“凝聚青年、服务大局、当好桥梁、从严治团”的工作格局，围绕学校综合改革思路，以学校十三五规划为纲领，突出重点，攻破难点，扎实推进学校共青团工作。坚持“聆听青年心声、关注青年热点、投身青年事业、服务青年成才”的团工作理念，紧扣教育改革，开拓工作思路，服务创新创业，狠抓品牌凝练，深化实践育人，注重服务实效。</w:t>
      </w:r>
    </w:p>
    <w:p>
      <w:pPr>
        <w:ind w:firstLine="473" w:firstLineChars="196"/>
        <w:rPr>
          <w:rFonts w:ascii="仿宋_GB2312" w:hAnsi="仿宋_GB2312" w:cs="仿宋_GB2312"/>
          <w:b/>
          <w:bCs/>
          <w:color w:val="000000"/>
          <w:sz w:val="24"/>
          <w:szCs w:val="24"/>
        </w:rPr>
      </w:pPr>
      <w:r>
        <w:rPr>
          <w:rFonts w:hint="eastAsia" w:ascii="仿宋_GB2312" w:hAnsi="仿宋_GB2312" w:cs="仿宋_GB2312"/>
          <w:color w:val="000000"/>
          <w:sz w:val="24"/>
          <w:szCs w:val="24"/>
        </w:rPr>
        <w:t>二、</w:t>
      </w:r>
      <w:r>
        <w:rPr>
          <w:rFonts w:hint="eastAsia" w:ascii="仿宋_GB2312" w:hAnsi="仿宋_GB2312" w:cs="仿宋_GB2312"/>
          <w:b/>
          <w:bCs/>
          <w:color w:val="000000"/>
          <w:sz w:val="24"/>
          <w:szCs w:val="24"/>
        </w:rPr>
        <w:t>工作目标　</w:t>
      </w:r>
    </w:p>
    <w:p>
      <w:pPr>
        <w:ind w:firstLine="484" w:firstLineChars="200"/>
        <w:rPr>
          <w:rFonts w:ascii="仿宋_GB2312" w:hAnsi="仿宋_GB2312" w:cs="仿宋_GB2312"/>
          <w:color w:val="000000"/>
          <w:sz w:val="24"/>
          <w:szCs w:val="24"/>
        </w:rPr>
      </w:pPr>
      <w:r>
        <w:rPr>
          <w:rFonts w:hint="eastAsia" w:ascii="仿宋_GB2312" w:hAnsi="仿宋_GB2312" w:cs="仿宋_GB2312"/>
          <w:color w:val="000000"/>
          <w:sz w:val="24"/>
          <w:szCs w:val="24"/>
        </w:rPr>
        <w:t>2017年学校共青团工作将按照团省委和团市委的工作部署，结合学校工作重点，坚持党建带团建，坚持立德树人，以改革创新为动力，团结和带领广大青年学生按照党的要求努力成长为中国特色社会主义事业的合格建设者和接班人，扎实推进思想引领、组织建设、服务成才、科技创新、实践育人、校园文化、志愿服务等各项学校共青团工作。</w:t>
      </w:r>
    </w:p>
    <w:p>
      <w:pPr>
        <w:rPr>
          <w:rFonts w:ascii="仿宋_GB2312" w:hAnsi="仿宋_GB2312" w:cs="仿宋_GB2312"/>
          <w:b/>
          <w:bCs/>
          <w:color w:val="000000"/>
          <w:sz w:val="24"/>
          <w:szCs w:val="24"/>
        </w:rPr>
      </w:pPr>
      <w:r>
        <w:rPr>
          <w:rFonts w:hint="eastAsia" w:ascii="仿宋_GB2312" w:hAnsi="仿宋_GB2312" w:cs="仿宋_GB2312"/>
          <w:b/>
          <w:bCs/>
          <w:color w:val="000000"/>
          <w:sz w:val="24"/>
          <w:szCs w:val="24"/>
        </w:rPr>
        <w:t>　　三、工作重点及主要措施</w:t>
      </w:r>
    </w:p>
    <w:p>
      <w:pPr>
        <w:rPr>
          <w:rFonts w:ascii="仿宋_GB2312" w:hAnsi="仿宋_GB2312" w:cs="仿宋_GB2312"/>
          <w:color w:val="000000"/>
          <w:sz w:val="24"/>
          <w:szCs w:val="24"/>
        </w:rPr>
      </w:pPr>
      <w:r>
        <w:rPr>
          <w:rFonts w:hint="eastAsia" w:ascii="仿宋_GB2312" w:hAnsi="仿宋_GB2312" w:cs="仿宋_GB2312"/>
          <w:color w:val="000000"/>
          <w:sz w:val="24"/>
          <w:szCs w:val="24"/>
        </w:rPr>
        <w:t>　</w:t>
      </w:r>
      <w:r>
        <w:rPr>
          <w:rFonts w:hint="eastAsia" w:ascii="仿宋_GB2312" w:hAnsi="仿宋_GB2312" w:cs="仿宋_GB2312"/>
          <w:b/>
          <w:bCs/>
          <w:color w:val="000000"/>
          <w:sz w:val="24"/>
          <w:szCs w:val="24"/>
        </w:rPr>
        <w:t>　(一)注重思想引领，推动立德树人</w:t>
      </w:r>
    </w:p>
    <w:p>
      <w:pPr>
        <w:rPr>
          <w:rFonts w:ascii="仿宋_GB2312" w:hAnsi="仿宋_GB2312" w:cs="仿宋_GB2312"/>
          <w:color w:val="000000"/>
          <w:sz w:val="24"/>
          <w:szCs w:val="24"/>
        </w:rPr>
      </w:pPr>
      <w:r>
        <w:rPr>
          <w:rFonts w:hint="eastAsia" w:ascii="仿宋_GB2312" w:hAnsi="仿宋_GB2312" w:cs="仿宋_GB2312"/>
          <w:color w:val="000000"/>
          <w:sz w:val="24"/>
          <w:szCs w:val="24"/>
        </w:rPr>
        <w:t xml:space="preserve">    1、全面深化培育和践行“社会主义核心价值观”和“我的中国梦”主题教育实践活动。以迎接党的十九大和深入学习宣传贯彻党的十九大精神为主线，结合学校党代会召开，开展主题宣传教育。广泛开展“四进四信”活动，深化“青年马克思主义者培养工程”。结合校史校情，加强青年学生对校训、校风、学风等的学习和理解，通过报告会、分享会和故事会等方式，激励学生奋发进取。抓时机、树典型，结合“厚德讲坛”、在学校中深入开展“奋斗的青春最美丽”实践报告会。开展好“与信仰对话”、“我与校长面对面”名家讲坛活动，增强思想引领实效性。结合学生始业教育全面开展爱党爱国、爱校爱院系列活动，弘扬宁波商帮文化，传承宁波商帮精神。</w:t>
      </w:r>
    </w:p>
    <w:p>
      <w:pPr>
        <w:rPr>
          <w:rFonts w:ascii="仿宋_GB2312" w:hAnsi="仿宋_GB2312" w:cs="仿宋_GB2312"/>
          <w:color w:val="000000"/>
          <w:sz w:val="24"/>
          <w:szCs w:val="24"/>
        </w:rPr>
      </w:pPr>
      <w:r>
        <w:rPr>
          <w:rFonts w:hint="eastAsia" w:ascii="仿宋_GB2312" w:hAnsi="仿宋_GB2312" w:cs="仿宋_GB2312"/>
          <w:color w:val="000000"/>
          <w:sz w:val="24"/>
          <w:szCs w:val="24"/>
        </w:rPr>
        <w:t xml:space="preserve">    2、以五四青年节、中秋节、国庆节、建党96周年等重要节庆活动为契机，进一步加强对青年学生的思想教育工作。值五四之际，组织各类团学先进评优活动，开展好五四先进表彰大会，积极发挥团员青年的先进模范作用。结合感动工商十大父亲等感恩文化活动的开展，培养、增强学生责任意识和感恩精神。以校园十佳歌手大赛、迎新生文艺晚会为载体，丰富我校青年学生的文艺生活，给青年学生提供一个展示风采，锻炼能力，开阔眼界的舞台。</w:t>
      </w:r>
    </w:p>
    <w:p>
      <w:pPr>
        <w:adjustRightInd w:val="0"/>
        <w:ind w:firstLine="484" w:firstLineChars="200"/>
        <w:rPr>
          <w:rFonts w:ascii="仿宋_GB2312" w:hAnsi="仿宋_GB2312" w:cs="仿宋_GB2312"/>
          <w:color w:val="000000"/>
          <w:sz w:val="24"/>
          <w:szCs w:val="24"/>
        </w:rPr>
      </w:pPr>
      <w:r>
        <w:rPr>
          <w:rFonts w:hint="eastAsia" w:ascii="仿宋_GB2312" w:hAnsi="仿宋_GB2312" w:cs="仿宋_GB2312"/>
          <w:color w:val="000000"/>
          <w:sz w:val="24"/>
          <w:szCs w:val="24"/>
        </w:rPr>
        <w:t>3、推进“网上共青团”建设。加快共青团互联网战略转型，形成线上线下深度融合的工作战略理念和格局。以工商青年网站建设为依托，以团委微信、微博为阵地，以we志愿服务平台和素质课堂认证平台为抓手，打造新媒体阵地集群。通过线上线下联动，将网上平台建设成反映学生呼声、回应学生诉求、维护学生权益、服务学生成长的重要窗口。进一步完善校团委新闻中心组织建设，构建好“微记者团”，健全宣传奖励机制。组建好网络文明志愿者队伍，实施“清朗网络青年力量-青年网络文明志愿行动”。积极运用“青年之声”网络互动平台，完善注册学生信息，优化答疑空间，加强信息管理。</w:t>
      </w:r>
    </w:p>
    <w:p>
      <w:pPr>
        <w:jc w:val="left"/>
        <w:rPr>
          <w:rFonts w:ascii="仿宋_GB2312" w:hAnsi="仿宋_GB2312" w:cs="仿宋_GB2312"/>
          <w:color w:val="000000"/>
          <w:sz w:val="24"/>
          <w:szCs w:val="24"/>
        </w:rPr>
      </w:pPr>
      <w:r>
        <w:rPr>
          <w:rFonts w:hint="eastAsia" w:ascii="仿宋_GB2312" w:hAnsi="仿宋_GB2312" w:cs="仿宋_GB2312"/>
          <w:color w:val="000000"/>
          <w:sz w:val="24"/>
          <w:szCs w:val="24"/>
        </w:rPr>
        <w:t xml:space="preserve">    4、以新世纪人才学院、学生干部读书会为载体，深入开展青年马克思主义者培养工程。结合我校第24期和25期新世纪人才学院暨青年马克思主义者培养工程的开展，培育优秀团员青年，提高大学生骨干的思想政治素质、政策理论水平、创新能力、实践能力和组织协调能力。</w:t>
      </w:r>
    </w:p>
    <w:p>
      <w:pPr>
        <w:jc w:val="left"/>
        <w:rPr>
          <w:rFonts w:ascii="仿宋_GB2312" w:hAnsi="仿宋_GB2312" w:cs="仿宋_GB2312"/>
          <w:b/>
          <w:bCs/>
          <w:color w:val="000000"/>
          <w:sz w:val="24"/>
          <w:szCs w:val="24"/>
        </w:rPr>
      </w:pPr>
      <w:r>
        <w:rPr>
          <w:rFonts w:hint="eastAsia" w:ascii="仿宋_GB2312" w:hAnsi="仿宋_GB2312" w:cs="仿宋_GB2312"/>
          <w:b/>
          <w:bCs/>
          <w:color w:val="000000"/>
          <w:sz w:val="24"/>
          <w:szCs w:val="24"/>
        </w:rPr>
        <w:t xml:space="preserve">     (二)服务成长成才，提升学生素质</w:t>
      </w:r>
    </w:p>
    <w:p>
      <w:pPr>
        <w:ind w:firstLine="484" w:firstLineChars="200"/>
        <w:jc w:val="left"/>
        <w:rPr>
          <w:rFonts w:ascii="仿宋_GB2312" w:hAnsi="仿宋_GB2312" w:cs="仿宋_GB2312"/>
          <w:color w:val="000000"/>
          <w:sz w:val="24"/>
          <w:szCs w:val="24"/>
        </w:rPr>
      </w:pPr>
      <w:r>
        <w:rPr>
          <w:rFonts w:hint="eastAsia" w:ascii="仿宋_GB2312" w:hAnsi="仿宋_GB2312" w:cs="仿宋_GB2312"/>
          <w:color w:val="000000"/>
          <w:sz w:val="24"/>
          <w:szCs w:val="24"/>
        </w:rPr>
        <w:t>5、以学风建设为基础，以创建校园文明为重点，深度推进文明修身工程。进一步规范学生行为礼仪规范，进一步营造“文明课堂、文明就餐、文明寝室、文明交通”等良好氛围。树立“文明寝室、文明班级、优良学风班级、优秀志愿者”等先进典型，营造优良的学习氛围，提高我校学生学风建设。以主题班会、团日活动为载体开展形式多样的文明修身创建工作，积极投身文明和谐校园建设。</w:t>
      </w:r>
    </w:p>
    <w:p>
      <w:pPr>
        <w:adjustRightInd w:val="0"/>
        <w:ind w:firstLine="484" w:firstLineChars="200"/>
        <w:rPr>
          <w:rFonts w:ascii="仿宋_GB2312" w:hAnsi="仿宋_GB2312" w:cs="仿宋_GB2312"/>
          <w:color w:val="000000"/>
          <w:sz w:val="24"/>
          <w:szCs w:val="24"/>
        </w:rPr>
      </w:pPr>
      <w:r>
        <w:rPr>
          <w:rFonts w:hint="eastAsia" w:ascii="仿宋_GB2312" w:hAnsi="仿宋_GB2312" w:cs="仿宋_GB2312"/>
          <w:color w:val="000000"/>
          <w:sz w:val="24"/>
          <w:szCs w:val="24"/>
        </w:rPr>
        <w:t>6、推进学生社团自主管理，加强学生社团项目化、公司化运行与建设。规范社团管理制度，有质量地提升学生社团数量和规模，新增10家学生社团。加强专业社团校院两级管理制度，发挥学生自主性，依靠专业优势，打造品牌社团10家。组织好“社团·梦想秀”项目评审、优秀社团指导老师、优秀社团等评选活动。以“社团博览会”、“社团文化节”为载体，展现工商学生社团特色文化，活跃校园文化氛围，提高社团活动质量和水平。走出去、请进来，活跃校际社团交流，下基层、进社区，增强社团社会化服务功能。</w:t>
      </w:r>
    </w:p>
    <w:p>
      <w:pPr>
        <w:adjustRightInd w:val="0"/>
        <w:ind w:firstLine="484" w:firstLineChars="200"/>
        <w:rPr>
          <w:rFonts w:ascii="仿宋_GB2312" w:hAnsi="仿宋_GB2312" w:cs="仿宋_GB2312"/>
          <w:color w:val="000000"/>
          <w:sz w:val="24"/>
          <w:szCs w:val="24"/>
        </w:rPr>
      </w:pPr>
      <w:r>
        <w:rPr>
          <w:rFonts w:hint="eastAsia" w:ascii="仿宋_GB2312" w:hAnsi="仿宋_GB2312" w:cs="仿宋_GB2312"/>
          <w:color w:val="000000"/>
          <w:sz w:val="24"/>
          <w:szCs w:val="24"/>
        </w:rPr>
        <w:t>7、搭建学生“三创”平台，实施大学生科技创新素养提升工程。大力推进大学生“三大”项目（科技孵化项目、科技创新项目、科技推广项目）的选拔、扶持、培育，计划立项30项。积极推荐优秀作品参加省市各类科技创新竞赛和立项工作，争取在赛事中取得好成绩。完善大学生科技创新协会管理制度，提升学生自主创新能力，加大科技创新指导力度。加强与国（境）外学生创新创业交流，选送20名优秀学生参加“三创夏令营”，提升学生创意创新能力。</w:t>
      </w:r>
    </w:p>
    <w:p>
      <w:pPr>
        <w:ind w:firstLine="484" w:firstLineChars="200"/>
        <w:rPr>
          <w:rFonts w:ascii="仿宋_GB2312" w:hAnsi="仿宋_GB2312" w:cs="仿宋_GB2312"/>
          <w:bCs/>
          <w:color w:val="000000"/>
          <w:sz w:val="24"/>
          <w:szCs w:val="24"/>
        </w:rPr>
      </w:pPr>
      <w:r>
        <w:rPr>
          <w:rFonts w:hint="eastAsia" w:ascii="仿宋_GB2312" w:hAnsi="仿宋_GB2312" w:cs="仿宋_GB2312"/>
          <w:color w:val="000000"/>
          <w:sz w:val="24"/>
          <w:szCs w:val="24"/>
        </w:rPr>
        <w:t>8、推进一院一品，提升学生综合素养。以科技创新为主题组织好</w:t>
      </w:r>
      <w:r>
        <w:rPr>
          <w:rFonts w:hint="eastAsia" w:ascii="仿宋_GB2312" w:hAnsi="仿宋_GB2312" w:cs="仿宋_GB2312"/>
          <w:bCs/>
          <w:color w:val="000000"/>
          <w:sz w:val="24"/>
          <w:szCs w:val="24"/>
        </w:rPr>
        <w:t>第十六届科技文化节，充分展示学生创新创业成果。推进“一院一品”的校园文化活动品牌打造，如：</w:t>
      </w:r>
      <w:r>
        <w:rPr>
          <w:rFonts w:hint="eastAsia" w:ascii="仿宋_GB2312" w:hAnsi="仿宋_GB2312" w:cs="仿宋_GB2312"/>
          <w:color w:val="000000"/>
          <w:sz w:val="24"/>
          <w:szCs w:val="24"/>
        </w:rPr>
        <w:t>商品展销会、女生健康节、</w:t>
      </w:r>
      <w:r>
        <w:rPr>
          <w:rFonts w:hint="eastAsia" w:ascii="仿宋_GB2312" w:hAnsi="仿宋_GB2312" w:cs="仿宋_GB2312"/>
          <w:bCs/>
          <w:color w:val="000000"/>
          <w:sz w:val="24"/>
          <w:szCs w:val="24"/>
        </w:rPr>
        <w:t xml:space="preserve"> “叮咚”e商节等。充分发挥学生自治组织的优势，组织好“三走”活动、博学课堂、新生篮球赛、大学生辩论赛等活动。</w:t>
      </w:r>
    </w:p>
    <w:p>
      <w:pPr>
        <w:ind w:firstLine="484" w:firstLineChars="200"/>
        <w:rPr>
          <w:rFonts w:ascii="仿宋_GB2312" w:hAnsi="仿宋_GB2312" w:cs="仿宋_GB2312"/>
          <w:bCs/>
          <w:color w:val="000000"/>
          <w:sz w:val="24"/>
          <w:szCs w:val="24"/>
        </w:rPr>
      </w:pPr>
      <w:r>
        <w:rPr>
          <w:rFonts w:hint="eastAsia" w:ascii="仿宋_GB2312" w:hAnsi="仿宋_GB2312" w:cs="仿宋_GB2312"/>
          <w:bCs/>
          <w:color w:val="000000"/>
          <w:sz w:val="24"/>
          <w:szCs w:val="24"/>
        </w:rPr>
        <w:t>9、规范素质课堂管理，完善网上成绩单管理。围绕学生育人中心任务，在引导学生坚持学业的同时，推行好“第二课堂”成绩单制度。建成网上素质学分认证系统，从工作内容、项目审核、评价机制等方面进行系统设计，客观记录、认证学生素质学分取得情况，有效地补充第一课堂。</w:t>
      </w:r>
    </w:p>
    <w:p>
      <w:pPr>
        <w:ind w:firstLine="484" w:firstLineChars="200"/>
        <w:rPr>
          <w:rFonts w:ascii="仿宋_GB2312" w:hAnsi="仿宋_GB2312" w:cs="仿宋_GB2312"/>
          <w:bCs/>
          <w:color w:val="000000"/>
          <w:sz w:val="24"/>
          <w:szCs w:val="24"/>
        </w:rPr>
      </w:pPr>
      <w:r>
        <w:rPr>
          <w:rFonts w:hint="eastAsia" w:ascii="仿宋_GB2312" w:hAnsi="仿宋_GB2312" w:cs="仿宋_GB2312"/>
          <w:bCs/>
          <w:color w:val="000000"/>
          <w:sz w:val="24"/>
          <w:szCs w:val="24"/>
        </w:rPr>
        <w:t>10、健全针对困难学生的多样化、常态化的帮扶机制。充分发挥学生会“自我教育、自我管理、自我服务”的功能，针对经济困难、学业困难、心理障碍、身体残疾等学生群体开展帮扶活动，推进“志愿一对一帮扶”、“考证考级帮扶”、“节日送温暖”等工作，帮助他们适应大学生活、顺利完成学业。</w:t>
      </w:r>
    </w:p>
    <w:p>
      <w:pPr>
        <w:numPr>
          <w:ilvl w:val="0"/>
          <w:numId w:val="1"/>
        </w:numPr>
        <w:ind w:firstLine="484" w:firstLineChars="200"/>
        <w:rPr>
          <w:rFonts w:ascii="仿宋_GB2312" w:hAnsi="仿宋_GB2312" w:cs="仿宋_GB2312"/>
          <w:b/>
          <w:bCs/>
          <w:color w:val="000000"/>
          <w:sz w:val="24"/>
          <w:szCs w:val="24"/>
        </w:rPr>
      </w:pPr>
      <w:r>
        <w:rPr>
          <w:rFonts w:hint="eastAsia" w:ascii="仿宋_GB2312" w:hAnsi="仿宋_GB2312" w:cs="仿宋_GB2312"/>
          <w:b/>
          <w:bCs/>
          <w:color w:val="000000"/>
          <w:sz w:val="24"/>
          <w:szCs w:val="24"/>
        </w:rPr>
        <w:t>完善志愿管理，打造志愿品牌</w:t>
      </w:r>
    </w:p>
    <w:p>
      <w:pPr>
        <w:ind w:firstLine="484" w:firstLineChars="200"/>
        <w:jc w:val="left"/>
        <w:rPr>
          <w:rFonts w:ascii="仿宋_GB2312" w:hAnsi="仿宋_GB2312" w:cs="仿宋_GB2312"/>
          <w:color w:val="000000"/>
          <w:sz w:val="24"/>
          <w:szCs w:val="24"/>
        </w:rPr>
      </w:pPr>
      <w:r>
        <w:rPr>
          <w:rFonts w:hint="eastAsia" w:ascii="仿宋_GB2312" w:hAnsi="仿宋_GB2312" w:cs="仿宋_GB2312"/>
          <w:color w:val="000000"/>
          <w:sz w:val="24"/>
          <w:szCs w:val="24"/>
        </w:rPr>
        <w:t>11、推进志愿服务品牌工程，深化大学生志愿服务活动。理顺校院志愿者两级管理，加强志愿者队伍，力争志愿者注册率达95%以上。完善志愿服务评价体系，用好we志愿服务平台，完善志愿服务认证工作。以3.5、12.5等重要志愿者日为契机，开展好笃行志愿服务月、志愿服务日等活动。加强特色服务队建设，要求做到“一院一特色”，并新增3-5个特色品牌项目。做好“暖春行”、“两会”等志愿服务品牌项目，提高服务水平和服务层次。巩固原有志愿者服务基地，深化服务内涵；拓宽服务区域，新建15个服务基地，并建立志愿服务基地星级评价机制。加强与宁波市81890志愿服务中心、海曙区的交流合作，做好特色服务、注册管理、志愿培训等工作。</w:t>
      </w:r>
    </w:p>
    <w:p>
      <w:pPr>
        <w:ind w:firstLine="484" w:firstLineChars="200"/>
        <w:jc w:val="left"/>
        <w:rPr>
          <w:rFonts w:ascii="仿宋_GB2312" w:hAnsi="仿宋_GB2312" w:cs="仿宋_GB2312"/>
          <w:color w:val="000000"/>
          <w:sz w:val="24"/>
          <w:szCs w:val="24"/>
        </w:rPr>
      </w:pPr>
      <w:r>
        <w:rPr>
          <w:rFonts w:hint="eastAsia" w:ascii="仿宋_GB2312" w:hAnsi="仿宋_GB2312" w:cs="仿宋_GB2312"/>
          <w:color w:val="000000"/>
          <w:sz w:val="24"/>
          <w:szCs w:val="24"/>
        </w:rPr>
        <w:t>12、加强红十字工作，提升学生社会责任意识。加大宣传途径，注重教育引导，组织好每月一次的无偿献血，做好阳光血站各项工作。发挥朋辈优势，组织培养“青春导师”队伍，全面深入开展好青春同伴教育。加大培训力度，增加培训投入，做好应急救护员培训工作。</w:t>
      </w:r>
    </w:p>
    <w:p>
      <w:pPr>
        <w:ind w:firstLine="484" w:firstLineChars="200"/>
        <w:jc w:val="left"/>
        <w:rPr>
          <w:rFonts w:ascii="仿宋_GB2312" w:hAnsi="仿宋_GB2312" w:cs="仿宋_GB2312"/>
          <w:color w:val="000000"/>
          <w:sz w:val="24"/>
          <w:szCs w:val="24"/>
        </w:rPr>
      </w:pPr>
      <w:r>
        <w:rPr>
          <w:rFonts w:hint="eastAsia" w:ascii="仿宋_GB2312" w:hAnsi="仿宋_GB2312" w:cs="仿宋_GB2312"/>
          <w:color w:val="000000"/>
          <w:sz w:val="24"/>
          <w:szCs w:val="24"/>
        </w:rPr>
        <w:t>13、加强专业融合，推进社会实践服务体系建设。以寒暑假、社会实践周为契机，各年级结合专业特点组织开展社会实践活动，建立完善的社会实践评价体系。结合“双百双进活动”完善社会实践基地建设，组织开展好“三送、三关爱、三参与”实践活动。制订《大学生社会实践基地建设实施办法》、编制《社会实践手册》、建立与完善社会实践评价体系、加强社会实践指导老师队伍建设、加大社会实践经费保障。</w:t>
      </w:r>
    </w:p>
    <w:p>
      <w:pPr>
        <w:rPr>
          <w:rFonts w:ascii="仿宋_GB2312" w:hAnsi="仿宋_GB2312" w:cs="仿宋_GB2312"/>
          <w:color w:val="000000"/>
          <w:sz w:val="24"/>
          <w:szCs w:val="24"/>
        </w:rPr>
      </w:pPr>
      <w:r>
        <w:rPr>
          <w:rFonts w:hint="eastAsia" w:ascii="仿宋_GB2312" w:hAnsi="仿宋_GB2312" w:cs="仿宋_GB2312"/>
          <w:color w:val="000000"/>
          <w:sz w:val="24"/>
          <w:szCs w:val="24"/>
        </w:rPr>
        <w:t>　</w:t>
      </w:r>
      <w:r>
        <w:rPr>
          <w:rFonts w:hint="eastAsia" w:ascii="仿宋_GB2312" w:hAnsi="仿宋_GB2312" w:cs="仿宋_GB2312"/>
          <w:b/>
          <w:bCs/>
          <w:color w:val="000000"/>
          <w:sz w:val="24"/>
          <w:szCs w:val="24"/>
        </w:rPr>
        <w:t>　(四)深化团建改革，打造书院党团阵地</w:t>
      </w:r>
    </w:p>
    <w:p>
      <w:pPr>
        <w:ind w:firstLine="484" w:firstLineChars="200"/>
        <w:jc w:val="left"/>
        <w:rPr>
          <w:rFonts w:ascii="仿宋_GB2312" w:hAnsi="仿宋_GB2312" w:cs="仿宋_GB2312"/>
          <w:color w:val="000000"/>
          <w:sz w:val="24"/>
          <w:szCs w:val="24"/>
        </w:rPr>
      </w:pPr>
      <w:r>
        <w:rPr>
          <w:rFonts w:hint="eastAsia" w:ascii="仿宋_GB2312" w:hAnsi="仿宋_GB2312" w:cs="仿宋_GB2312"/>
          <w:color w:val="000000"/>
          <w:sz w:val="24"/>
          <w:szCs w:val="24"/>
        </w:rPr>
        <w:t>14、建设书院文化阵地，推进团学工作创新。建设好书院团学组织的宣传阵地、活动阵地、办公阵地、休闲阵地，打造好书院学生活动中心，繁荣书院文化，提升学生满意度。组织一年一度的书院文化节，激发学生活力，施展学生才能。指导各学院以书院为阵地，建立和完善二级团学组织，加强书院学生自律组织管理。</w:t>
      </w:r>
    </w:p>
    <w:p>
      <w:pPr>
        <w:ind w:firstLine="484" w:firstLineChars="200"/>
        <w:jc w:val="left"/>
        <w:rPr>
          <w:rFonts w:ascii="仿宋_GB2312" w:hAnsi="仿宋_GB2312" w:cs="仿宋_GB2312"/>
          <w:color w:val="000000"/>
          <w:sz w:val="24"/>
          <w:szCs w:val="24"/>
        </w:rPr>
      </w:pPr>
      <w:r>
        <w:rPr>
          <w:rFonts w:hint="eastAsia" w:ascii="仿宋_GB2312" w:hAnsi="仿宋_GB2312" w:cs="仿宋_GB2312"/>
          <w:color w:val="000000"/>
          <w:sz w:val="24"/>
          <w:szCs w:val="24"/>
        </w:rPr>
        <w:t xml:space="preserve"> 15、加强团建创新和基础团务工作。积极开展共青团重点工作创新，做好创新奖、调研奖申报工作。广泛开展 “活力在基层”主题团日竞赛、五四红旗团组织创建等活动，推动基层团组织进一步活跃。探索新型的基层团组织建设，在电商园区、实习基地等建立团组织，开展团日活动。以评促建，完善二级团总支、学生会工作评价机制，推进校院二级管理。规范学校团组织“推优入党”工作机制。规范和严肃团内统计、团费收缴和团费支持基层团建工作制度。</w:t>
      </w:r>
    </w:p>
    <w:p>
      <w:pPr>
        <w:ind w:firstLine="484" w:firstLineChars="200"/>
        <w:jc w:val="left"/>
        <w:rPr>
          <w:rFonts w:ascii="仿宋_GB2312" w:hAnsi="仿宋_GB2312" w:cs="仿宋_GB2312"/>
          <w:color w:val="000000"/>
          <w:sz w:val="24"/>
          <w:szCs w:val="24"/>
        </w:rPr>
      </w:pPr>
      <w:r>
        <w:rPr>
          <w:rFonts w:hint="eastAsia" w:ascii="仿宋_GB2312" w:hAnsi="仿宋_GB2312" w:cs="仿宋_GB2312"/>
          <w:color w:val="000000"/>
          <w:sz w:val="24"/>
          <w:szCs w:val="24"/>
        </w:rPr>
        <w:t>16、加强学生干部队伍建设。充分发挥学生会、社团组织“自我教育、自我管理、自我服务”的功能，引导开展工作。组织召开好团员学生代表增选会议和社团联合会、青年志愿者协会的换届选举大会。通过干部座谈会、思维盛宴讲座、知识竞赛等多种形式，积极搭建平台，有目的、有计划的培养一支高素质的学生干部队伍。开展优秀干部、优秀团员、十佳会长、十佳志愿之星等评选活动，挖掘宣传先进典型，影响和带动工商青年学子。</w:t>
      </w:r>
    </w:p>
    <w:p>
      <w:pPr>
        <w:ind w:firstLine="484" w:firstLineChars="200"/>
        <w:jc w:val="left"/>
        <w:rPr>
          <w:rFonts w:ascii="仿宋_GB2312" w:hAnsi="仿宋_GB2312" w:cs="仿宋_GB2312"/>
          <w:color w:val="000000"/>
          <w:sz w:val="24"/>
          <w:szCs w:val="24"/>
        </w:rPr>
      </w:pPr>
      <w:r>
        <w:rPr>
          <w:rFonts w:hint="eastAsia" w:ascii="仿宋_GB2312" w:hAnsi="仿宋_GB2312" w:cs="仿宋_GB2312"/>
          <w:color w:val="000000"/>
          <w:sz w:val="24"/>
          <w:szCs w:val="24"/>
        </w:rPr>
        <w:t>17、推进服务型团组织建设。以团学服务阵地、书院志愿服务驿站为载体，加强交流，服务师生。充分发挥团学组织的桥梁纽带作用和紧密联系学生的优势，积极参与学校事务，建立学校团(学)代会“代表工作日”制度，推广开展“倾听日”活动，代表和维护学生权益。</w:t>
      </w:r>
    </w:p>
    <w:p>
      <w:pPr>
        <w:ind w:firstLine="484" w:firstLineChars="200"/>
        <w:jc w:val="left"/>
        <w:rPr>
          <w:rFonts w:hint="eastAsia" w:ascii="仿宋_GB2312" w:hAnsi="仿宋_GB2312" w:cs="仿宋_GB2312"/>
          <w:color w:val="000000"/>
          <w:sz w:val="24"/>
          <w:szCs w:val="24"/>
        </w:rPr>
      </w:pPr>
    </w:p>
    <w:p>
      <w:pPr>
        <w:ind w:firstLine="484" w:firstLineChars="200"/>
        <w:jc w:val="left"/>
        <w:rPr>
          <w:rFonts w:hint="eastAsia" w:ascii="仿宋_GB2312" w:hAnsi="仿宋_GB2312" w:cs="仿宋_GB2312"/>
          <w:color w:val="000000"/>
          <w:sz w:val="24"/>
          <w:szCs w:val="24"/>
        </w:rPr>
      </w:pPr>
    </w:p>
    <w:p>
      <w:pPr>
        <w:ind w:firstLine="484" w:firstLineChars="200"/>
        <w:jc w:val="right"/>
        <w:rPr>
          <w:rFonts w:hint="eastAsia" w:ascii="仿宋_GB2312" w:hAnsi="仿宋_GB2312" w:cs="仿宋_GB2312"/>
          <w:color w:val="000000"/>
          <w:sz w:val="24"/>
          <w:szCs w:val="24"/>
        </w:rPr>
      </w:pPr>
    </w:p>
    <w:p>
      <w:pPr>
        <w:ind w:firstLine="484" w:firstLineChars="200"/>
        <w:jc w:val="right"/>
        <w:rPr>
          <w:rFonts w:hint="eastAsia" w:ascii="仿宋_GB2312" w:hAnsi="仿宋_GB2312" w:cs="仿宋_GB2312"/>
          <w:color w:val="000000"/>
          <w:sz w:val="24"/>
          <w:szCs w:val="24"/>
        </w:rPr>
      </w:pPr>
      <w:r>
        <w:rPr>
          <w:rFonts w:hint="eastAsia" w:ascii="仿宋_GB2312" w:hAnsi="仿宋_GB2312" w:cs="仿宋_GB2312"/>
          <w:color w:val="000000"/>
          <w:sz w:val="24"/>
          <w:szCs w:val="24"/>
        </w:rPr>
        <w:t>共青团浙江工商职业技术学院委员会</w:t>
      </w:r>
    </w:p>
    <w:p>
      <w:pPr>
        <w:ind w:firstLine="484" w:firstLineChars="200"/>
        <w:jc w:val="right"/>
        <w:rPr>
          <w:rFonts w:hint="eastAsia" w:ascii="仿宋_GB2312" w:hAnsi="仿宋_GB2312" w:cs="仿宋_GB2312"/>
          <w:color w:val="000000"/>
          <w:sz w:val="24"/>
          <w:szCs w:val="24"/>
        </w:rPr>
      </w:pPr>
      <w:r>
        <w:rPr>
          <w:rFonts w:hint="eastAsia" w:ascii="仿宋_GB2312" w:hAnsi="仿宋_GB2312" w:cs="仿宋_GB2312"/>
          <w:color w:val="000000"/>
          <w:sz w:val="24"/>
          <w:szCs w:val="24"/>
        </w:rPr>
        <w:t>2017年2月20日</w:t>
      </w:r>
    </w:p>
    <w:p/>
    <w:sectPr>
      <w:headerReference r:id="rId3" w:type="default"/>
      <w:footerReference r:id="rId4" w:type="default"/>
      <w:pgSz w:w="11907" w:h="16840"/>
      <w:pgMar w:top="2098" w:right="1474" w:bottom="2098" w:left="1588" w:header="403" w:footer="1588" w:gutter="0"/>
      <w:pgNumType w:start="1"/>
      <w:cols w:space="720" w:num="1"/>
      <w:docGrid w:type="linesAndChars" w:linePitch="569" w:charSpace="4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2"/>
                          </w:pPr>
                          <w:r>
                            <w:fldChar w:fldCharType="begin"/>
                          </w:r>
                          <w:r>
                            <w:instrText xml:space="preserve">PAGE  </w:instrText>
                          </w:r>
                          <w:r>
                            <w:fldChar w:fldCharType="separate"/>
                          </w:r>
                          <w:r>
                            <w:t>3</w:t>
                          </w:r>
                          <w: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CtOjR74BAABsAwAADgAAAAAAAAABACAAAAAeAQAAZHJzL2Uyb0RvYy54bWxQSwUGAAAA&#10;AAYABgBZAQAATgUAAAAA&#10;">
              <v:path/>
              <v:fill on="f" focussize="0,0"/>
              <v:stroke on="f"/>
              <v:imagedata o:title=""/>
              <o:lock v:ext="edit" aspectratio="f"/>
              <v:textbox inset="0mm,0mm,0mm,0mm" style="mso-fit-shape-to-text:t;">
                <w:txbxContent>
                  <w:p>
                    <w:pPr>
                      <w:pStyle w:val="2"/>
                    </w:pPr>
                    <w:r>
                      <w:fldChar w:fldCharType="begin"/>
                    </w:r>
                    <w:r>
                      <w:instrText xml:space="preserve">PAGE  </w:instrText>
                    </w:r>
                    <w:r>
                      <w:fldChar w:fldCharType="separate"/>
                    </w:r>
                    <w:r>
                      <w:t>3</w:t>
                    </w:r>
                    <w:r>
                      <w:fldChar w:fldCharType="end"/>
                    </w:r>
                    <w:r>
                      <w:rPr>
                        <w:rFonts w:hint="eastAsia"/>
                      </w:rPr>
                      <w:t xml:space="preserve">   </w:t>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D03B1"/>
    <w:multiLevelType w:val="singleLevel"/>
    <w:tmpl w:val="565D03B1"/>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57FFB"/>
    <w:rsid w:val="1DF57FF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0"/>
      <w:szCs w:val="22"/>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2017-03-06T10:07:00Z</dcterms:created>
  <dc:creator>Administrator</dc:creator>
  <cp:lastModifiedBy>Administrator</cp:lastModifiedBy>
  <dcterms:modified xsi:type="dcterms:W3CDTF">2017-03-06T10:09:58Z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